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w:t>
      </w:r>
    </w:p>
    <w:p>
      <w:r>
        <w:t>Bundesgericht (BGE), 1989-02-23, DE</w:t>
      </w:r>
    </w:p>
    <w:p>
      <w:r>
        <w:rPr>
          <w:b/>
        </w:rPr>
        <w:t xml:space="preserve">Quelle: </w:t>
      </w:r>
      <w:r>
        <w:t>https://mcp.opencaselaw.ch/entscheid/bge_115 V 1</w:t>
      </w:r>
    </w:p>
    <w:p>
      <w:r>
        <w:t>FR: ATF 115 V 1</w:t>
      </w:r>
    </w:p>
    <w:p>
      <w:r>
        <w:t>IT: DTF 115 V 1</w:t>
      </w:r>
    </w:p>
    <w:p>
      <w:pPr>
        <w:pStyle w:val="Heading2"/>
      </w:pPr>
      <w:r>
        <w:t>Regeste</w:t>
      </w:r>
    </w:p>
    <w:p>
      <w:r>
        <w:t>Regeste Art. 5 Abs. 2 und Art. 9 Abs. 1 AHVG, Art. 6 ff. AHVV: Beitragsrechtliche Qualifikation von "Schmiergeldern". Die Frage, ob es sich bei "Schmiergeldzahlungen um Einkommen aus selbständiger oder aus unselbständiger Erwerbstätigkeit handelt, lässt sich nicht in generell gültiger Weise beantworten, sondern ist in jedem einzelnen Fall unter Berücksichtigung der konkreten Umstände zu prüfen.</w:t>
      </w:r>
    </w:p>
    <w:p>
      <w:pPr>
        <w:pStyle w:val="Heading2"/>
      </w:pPr>
      <w:r>
        <w:t>Erwägungen</w:t>
      </w:r>
    </w:p>
    <w:p>
      <w:r>
        <w:rPr>
          <w:b/>
        </w:rPr>
        <w:t>E. 3</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BGE 115 V 1 S. 2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110 V 78 Erw. 4a mit Hinweisen).</w:t>
      </w:r>
    </w:p>
    <w:p>
      <w:r>
        <w:rPr>
          <w:b/>
        </w:rPr>
        <w:t>E. 4</w:t>
      </w:r>
    </w:p>
    <w:p>
      <w:r>
        <w:t>b) Unbestrittenermassen richtete die Beschwerdeführerin X AG verschiedenen Empfängern Zahlungen als Entschädigung dafür aus, dass diese ihr zu Grossaufträgen der Firmen, bei denen sie selber angestellt waren, verhalfen. Dabei durften die Arbeitgeber der Zahlungsbezüger von dieser Vermittlungstätigkeit keine Kenntnis erhalten. In der Verwaltungsgerichtsbeschwerde werden diese Beträge ausdrücklich als "Schmiergelder" bezeichnet. Da sie als Gegenleistung für die von den Empfängern geleisteten Dienste ausgerichtet wurden, ist vom Vorliegen eines beitragspflichtigen Erwerbseinkommens auszugehen. Ob die Ausgleichskasse die dafür zu entrichtenden Beiträge zu Recht von der X AG forderte, hängt von der beitragsrechtlichen Qualifikation der Zahlungsempfänger ab. c) Bereits im vorinstanzlichen Verfahren wies die Beschwerdeführerin darauf hin, dass die fraglichen Entschädigungen nicht als Aufwand verbucht werden konnten und von der Steuerverwaltung dementsprechend als Gewinn behandelt wurden. Daraus kann sie indessen bezüglich der beitragsrechtlichen Qualifikation dieser Gelder nichts zu ihren Gunsten ableiten. Bezüglich solcher im täglichen Geschäftsleben unter verschiedensten Bezeichnungen geläufigen Zahlungen entwickelten sich zwar im Fiskalrecht zahlreiche Grundsätze über deren steuerrechtliche Erfassung (vgl. STAMPFLI, Die Leistung geheimer Kommissionen und ihre BGE 115 V 1 S. 3 steuerrechtliche Behandlung, Diss. Bern 1986, S. 152 ff. und 161 ff.; HERITIER, Les Pots-de-vin, Diss. Genf 1981, S. 126 ff.). Bei der beitragsrechtlichen Beurteilung sind die für die Steuerbehörden ausschlaggebenden Gesichtspunkte jedoch nicht in gleichem Mass von Bedeutung, weshalb sich die Ergebnisse in diesen beiden Bereichen nicht zwangsläufig zu decken brauchen (vgl. BGE 110 V 371 ). Die Frage, ob es sich bei den sog. Schmiergeldern um Einkommen aus selbständiger oder aus unselbständiger Erwerbstätigkeit handelt, lässt sich denn aus beitragsrechtlicher Sicht auch nicht zum vornherein in generell gültiger Weise beantworten. Sie ist vielmehr in jedem einzelnen Fall unter Berücksichtigung der konkreten Umstände zu prüfen. Dabei gilt es zu beachten, dass sich die Bezüger solcher Gelder kaum je als Selbständigerwerbende bei der Ausgleichskasse melden werden, weshalb solche Erwerbseinkommen wie im vorliegenden Fall praktisch nur aufgrund von Arbeitgeberkontrollen entdeckt werden können. Um der damit verbundenen Gefahr einer Verwirkung erheblicher Beitragsforderungen gebührend Rechnung zu tragen, ist aus Praktikabilitätsgründen in der Annahme selbständiger Erwerbstätigkeit Zurückhaltung geboten. In der Regel wird sich ein Betrieb deshalb seiner Abrechnungspflicht nicht lediglich mit dem Hinweis auf die angeblich selbständige Erwerbstätigkeit der Zahlungsempfänger entziehen können, ohne deren Identität preiszugeben. d) Nach den Angaben der Beschwerdeführerin handelte es sich bei den Provisionsbezügern durchwegs um Angestellte ihrer Kundenfirmen, welche die jeweiligen Arbeitgeberbetriebe zur Erteilung von Grossaufträgen an sie veranlassten oder gar selbst die Kompetenz zu solchen Auftragsvergebungen innehatten. Bei dieser Sachlage kann nicht von einem von den Zahlungsempfängern zu tragenden Unternehmerrisiko gesprochen werden, welches die Annahme einer selbständigen Erwerbstätigkeit rechtfertigen liesse. Die Gefahr von Sanktionen infolge Verletzungen der zivilrechtlichen Treuepflicht gegenüber dem Arbeitgeber oder gar der Verwirklichung eines Straftatbestandes kann entgegen den Ausführungen in der Verwaltungsgerichtsbeschwerde nicht als solches betrachtet werden, da es sich dabei nicht um ein geschäftliches Risiko handelt. Dass die Vorinstanz unter diesen Umständen und in Würdigung der der Beschwerdeführerin vorzuhaltenden Auskunftspflichtverletzung auf das Vorliegen einer unselbständigen Erwerbstätigkeit für die X AG schloss, lässt sich nicht beanstanden. Daran vermögen auch die notariell beglaubigten Bestätigungen BGE 115 V 1 S. 4 von zwei Zahlungsempfängern, wonach zwischen diesen und der Beschwerdeführerin keine gegenseitigen wirtschaftlichen Verpflichtungen bestanden, nichts zu ändern. Wie das kantonale Gericht zu Recht erkannte, können diese Urkunden lediglich die Behauptungen dieser Personen, nicht jedoch deren inhaltliche Richtigkeit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